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ZARZĄDZENIE NR 35/2014</w:t>
      </w:r>
      <w:r w:rsidRPr="00E93980">
        <w:rPr>
          <w:rFonts w:ascii="Times New Roman" w:eastAsia="Times New Roman" w:hAnsi="Times New Roman" w:cs="Times New Roman"/>
          <w:sz w:val="24"/>
          <w:szCs w:val="24"/>
          <w:lang w:eastAsia="pl-PL"/>
        </w:rPr>
        <w:t xml:space="preserve"> </w:t>
      </w:r>
    </w:p>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WÓJTA GMINY NOWOGRÓDEK POMORSKI</w:t>
      </w:r>
      <w:r w:rsidRPr="00E93980">
        <w:rPr>
          <w:rFonts w:ascii="Times New Roman" w:eastAsia="Times New Roman" w:hAnsi="Times New Roman" w:cs="Times New Roman"/>
          <w:sz w:val="24"/>
          <w:szCs w:val="24"/>
          <w:lang w:eastAsia="pl-PL"/>
        </w:rPr>
        <w:t xml:space="preserve"> </w:t>
      </w:r>
    </w:p>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z dnia 1 października 2014 r.</w:t>
      </w:r>
      <w:r w:rsidRPr="00E93980">
        <w:rPr>
          <w:rFonts w:ascii="Times New Roman" w:eastAsia="Times New Roman" w:hAnsi="Times New Roman" w:cs="Times New Roman"/>
          <w:sz w:val="24"/>
          <w:szCs w:val="24"/>
          <w:lang w:eastAsia="pl-PL"/>
        </w:rPr>
        <w:t xml:space="preserve">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w sprawie określenia zasad zagospodarowania drewna stanowiącego własność Gminy Nowogródek Pomorski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Na podstawie art. 30 ustawy z dnia 8 marca 1990r. o samorządzie gminnym (Dz. U. z 2013 r., poz. 594 ze zmianami ) </w:t>
      </w:r>
      <w:r w:rsidRPr="00E93980">
        <w:rPr>
          <w:rFonts w:ascii="Times New Roman" w:eastAsia="Times New Roman" w:hAnsi="Times New Roman" w:cs="Times New Roman"/>
          <w:b/>
          <w:bCs/>
          <w:sz w:val="24"/>
          <w:szCs w:val="24"/>
          <w:lang w:eastAsia="pl-PL"/>
        </w:rPr>
        <w:t xml:space="preserve">z a </w:t>
      </w:r>
      <w:proofErr w:type="spellStart"/>
      <w:r w:rsidRPr="00E93980">
        <w:rPr>
          <w:rFonts w:ascii="Times New Roman" w:eastAsia="Times New Roman" w:hAnsi="Times New Roman" w:cs="Times New Roman"/>
          <w:b/>
          <w:bCs/>
          <w:sz w:val="24"/>
          <w:szCs w:val="24"/>
          <w:lang w:eastAsia="pl-PL"/>
        </w:rPr>
        <w:t>r</w:t>
      </w:r>
      <w:proofErr w:type="spellEnd"/>
      <w:r w:rsidRPr="00E93980">
        <w:rPr>
          <w:rFonts w:ascii="Times New Roman" w:eastAsia="Times New Roman" w:hAnsi="Times New Roman" w:cs="Times New Roman"/>
          <w:b/>
          <w:bCs/>
          <w:sz w:val="24"/>
          <w:szCs w:val="24"/>
          <w:lang w:eastAsia="pl-PL"/>
        </w:rPr>
        <w:t xml:space="preserve"> z ą d z a m, c o n a s t ę p u j e:</w:t>
      </w:r>
      <w:r w:rsidRPr="00E93980">
        <w:rPr>
          <w:rFonts w:ascii="Times New Roman" w:eastAsia="Times New Roman" w:hAnsi="Times New Roman" w:cs="Times New Roman"/>
          <w:sz w:val="24"/>
          <w:szCs w:val="24"/>
          <w:lang w:eastAsia="pl-PL"/>
        </w:rPr>
        <w:t xml:space="preserve">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 1. 1. Niniejsze zarządzenie ustala zasady gospodarowania drewnem pozyskanym z gruntów będących własnością lub w zarządzie Gminy Nowogródek Pomorski oraz drewna przekazanego Gminie za pisemną zgodą właściciela.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2. Usunięcie drzew następuje po uzyskaniu pisemnych decyzji (zezwoleń) wydanych przez Starostę Powiatu Myśliborskiego na podstawie wniosków złożonych przez Wójta Gminy Nowogródek Pomorski, pisemnych zezwoleń właścicieli gruntów posiadających wymagane decyzje (zezwolenia) odpowiednich organów lub protokołu przekazania pasa drogowego sporządzanego na podstawie Porozumienia pomiędzy Gminą Nowogródek Pomorski a Powiatem Myśliborskim w sprawie współpracy zakresie utrzymania zieleni w pasach dróg powiatowych na terenie gminy Nowogródek Pomorski.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 2. Drewno pozyskane z terenów określonych w § 1 może zostać zagospodarowane w następujący sposób: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1. Sprzedaż osobom fizycznym lub osobom prawnym;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2. Nieodpłatne przekazanie jednostkom, takim jak szkoły gminne, Wiejski Ośrodek Kultury, Ochotnicza Straż Pożarna itp. - na cele związane z ich funkcjonowaniem;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3. Nieodpłatne przekazanie Radom Sołeckim na cele związane z funkcjonowaniem świetlic wiejskich oraz na cele ogólnospołeczne;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4. Wykorzystanie na potrzeby własne Gminy Nowogródek Pomorski;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5. Dopuszcza się nieodpłatne przekazywanie drewna osobom znajdującym się w trudnej sytuacji materialnej za pośrednictwem Gminnego Ośrodka Pomocy Społecznej w Nowogródku Pomorskim jako pomoc rzeczową.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 3. 1. Sprzedaż drewna odbywa się na podstawie złożonych wniosków - wzór wniosku stanowi załącznik nr 4.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2. Przekazanie drewna nabywcy odbywa się na podstawie </w:t>
      </w:r>
      <w:r w:rsidRPr="00E93980">
        <w:rPr>
          <w:rFonts w:ascii="Times New Roman" w:eastAsia="Times New Roman" w:hAnsi="Times New Roman" w:cs="Times New Roman"/>
          <w:b/>
          <w:bCs/>
          <w:sz w:val="24"/>
          <w:szCs w:val="24"/>
          <w:lang w:eastAsia="pl-PL"/>
        </w:rPr>
        <w:t xml:space="preserve">Protokołu Przekazania Drewna, </w:t>
      </w:r>
      <w:r w:rsidRPr="00E93980">
        <w:rPr>
          <w:rFonts w:ascii="Times New Roman" w:eastAsia="Times New Roman" w:hAnsi="Times New Roman" w:cs="Times New Roman"/>
          <w:sz w:val="24"/>
          <w:szCs w:val="24"/>
          <w:lang w:eastAsia="pl-PL"/>
        </w:rPr>
        <w:t xml:space="preserve">którego wzór stanowi załącznik nr 1 do niniejszego zarządzenia.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 4. Podstawą do ustalenia wartości pozyskanego drewna jest wyliczenie ilości pozyskanego drewna na podstawie obmiaru drewna po ścięciu, którego dokonuje pracownik Urzędu Gminy Nowogródek Pomorski.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lastRenderedPageBreak/>
        <w:t xml:space="preserve">§ 5. 1. Drewno należy przyjąć na stan Ewidencji Pozyskanego Drewna sporządzając dokument - </w:t>
      </w:r>
      <w:r w:rsidRPr="00E93980">
        <w:rPr>
          <w:rFonts w:ascii="Times New Roman" w:eastAsia="Times New Roman" w:hAnsi="Times New Roman" w:cs="Times New Roman"/>
          <w:b/>
          <w:bCs/>
          <w:sz w:val="24"/>
          <w:szCs w:val="24"/>
          <w:lang w:eastAsia="pl-PL"/>
        </w:rPr>
        <w:t xml:space="preserve">Wykaz Odbiorczy Drewna /WOD/ </w:t>
      </w:r>
      <w:r w:rsidRPr="00E93980">
        <w:rPr>
          <w:rFonts w:ascii="Times New Roman" w:eastAsia="Times New Roman" w:hAnsi="Times New Roman" w:cs="Times New Roman"/>
          <w:sz w:val="24"/>
          <w:szCs w:val="24"/>
          <w:lang w:eastAsia="pl-PL"/>
        </w:rPr>
        <w:t xml:space="preserve">wg wzoru stanowiącego załącznik nr 2 do niniejszego zarządzenia.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2. Wykaz Odbiorczy Drewna zatwierdzony przez Wójta stanowi podstawę do przyjęcia drewna na stan oraz wystawienia dokumentów rozchodowych.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3. Wykaz Odbiorczy Drewna należy sporządzić w dwóch egzemplarzach, z czego oryginał należy przekazać do Referatu Finansowego. Drugi egzemplarz pozostaje w dokumentacji w referacie realizującym zadania związane z wycinką drzew.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4. Wykaz odbiorczy drewna jest dokumentem ścisłego zarachowania.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 6. 1. Pozyskane drewno podlega wpisowi do </w:t>
      </w:r>
      <w:r w:rsidRPr="00E93980">
        <w:rPr>
          <w:rFonts w:ascii="Times New Roman" w:eastAsia="Times New Roman" w:hAnsi="Times New Roman" w:cs="Times New Roman"/>
          <w:b/>
          <w:bCs/>
          <w:sz w:val="24"/>
          <w:szCs w:val="24"/>
          <w:lang w:eastAsia="pl-PL"/>
        </w:rPr>
        <w:t xml:space="preserve">Ewidencji Pozyskanego Drewna </w:t>
      </w:r>
      <w:r w:rsidRPr="00E93980">
        <w:rPr>
          <w:rFonts w:ascii="Times New Roman" w:eastAsia="Times New Roman" w:hAnsi="Times New Roman" w:cs="Times New Roman"/>
          <w:sz w:val="24"/>
          <w:szCs w:val="24"/>
          <w:lang w:eastAsia="pl-PL"/>
        </w:rPr>
        <w:t xml:space="preserve">prowadzonej zgodnie ze wzorem stanowiącym załącznik nr 4 do niniejszego zarządzenia.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2. Ewidencję drewna prowadzi referat odpowiedzialny za realizację zadań związanych z wycinką drzew.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 7. Cennik na drewno pozyskane kosztem i staraniem Gminy Nowogródek Pomorski: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1. Ustala się cennik netto za drewno tartaczne pozyskane kosztem Gminy Nowogródek Pomorski: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97"/>
        <w:gridCol w:w="3341"/>
        <w:gridCol w:w="1685"/>
        <w:gridCol w:w="1777"/>
        <w:gridCol w:w="1792"/>
      </w:tblGrid>
      <w:tr w:rsidR="00E93980" w:rsidRPr="00E93980" w:rsidTr="00E93980">
        <w:trPr>
          <w:tblCellSpacing w:w="15" w:type="dxa"/>
        </w:trPr>
        <w:tc>
          <w:tcPr>
            <w:tcW w:w="3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Lp.</w:t>
            </w:r>
            <w:r w:rsidRPr="00E93980">
              <w:rPr>
                <w:rFonts w:ascii="Times New Roman" w:eastAsia="Times New Roman" w:hAnsi="Times New Roman" w:cs="Times New Roman"/>
                <w:sz w:val="24"/>
                <w:szCs w:val="24"/>
                <w:lang w:eastAsia="pl-PL"/>
              </w:rPr>
              <w:t xml:space="preserve"> </w:t>
            </w:r>
          </w:p>
        </w:tc>
        <w:tc>
          <w:tcPr>
            <w:tcW w:w="18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Sortyment</w:t>
            </w:r>
            <w:r w:rsidRPr="00E93980">
              <w:rPr>
                <w:rFonts w:ascii="Times New Roman" w:eastAsia="Times New Roman" w:hAnsi="Times New Roman" w:cs="Times New Roman"/>
                <w:sz w:val="24"/>
                <w:szCs w:val="24"/>
                <w:lang w:eastAsia="pl-PL"/>
              </w:rPr>
              <w:t xml:space="preserve"> </w:t>
            </w:r>
          </w:p>
        </w:tc>
        <w:tc>
          <w:tcPr>
            <w:tcW w:w="9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Oznaczenie</w:t>
            </w:r>
            <w:r w:rsidRPr="00E93980">
              <w:rPr>
                <w:rFonts w:ascii="Times New Roman" w:eastAsia="Times New Roman" w:hAnsi="Times New Roman" w:cs="Times New Roman"/>
                <w:sz w:val="24"/>
                <w:szCs w:val="24"/>
                <w:lang w:eastAsia="pl-PL"/>
              </w:rPr>
              <w:t xml:space="preserve"> </w:t>
            </w:r>
          </w:p>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drewna</w:t>
            </w:r>
            <w:r w:rsidRPr="00E93980">
              <w:rPr>
                <w:rFonts w:ascii="Times New Roman" w:eastAsia="Times New Roman" w:hAnsi="Times New Roman" w:cs="Times New Roman"/>
                <w:sz w:val="24"/>
                <w:szCs w:val="24"/>
                <w:lang w:eastAsia="pl-PL"/>
              </w:rPr>
              <w:t xml:space="preserve"> </w:t>
            </w:r>
          </w:p>
        </w:tc>
        <w:tc>
          <w:tcPr>
            <w:tcW w:w="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Jedn.</w:t>
            </w:r>
            <w:r w:rsidRPr="00E93980">
              <w:rPr>
                <w:rFonts w:ascii="Times New Roman" w:eastAsia="Times New Roman" w:hAnsi="Times New Roman" w:cs="Times New Roman"/>
                <w:sz w:val="24"/>
                <w:szCs w:val="24"/>
                <w:lang w:eastAsia="pl-PL"/>
              </w:rPr>
              <w:t xml:space="preserve"> </w:t>
            </w:r>
          </w:p>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miary</w:t>
            </w:r>
            <w:r w:rsidRPr="00E93980">
              <w:rPr>
                <w:rFonts w:ascii="Times New Roman" w:eastAsia="Times New Roman" w:hAnsi="Times New Roman" w:cs="Times New Roman"/>
                <w:sz w:val="24"/>
                <w:szCs w:val="24"/>
                <w:lang w:eastAsia="pl-PL"/>
              </w:rPr>
              <w:t xml:space="preserve"> </w:t>
            </w:r>
          </w:p>
        </w:tc>
        <w:tc>
          <w:tcPr>
            <w:tcW w:w="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Cena w zł</w:t>
            </w:r>
            <w:r w:rsidRPr="00E93980">
              <w:rPr>
                <w:rFonts w:ascii="Times New Roman" w:eastAsia="Times New Roman" w:hAnsi="Times New Roman" w:cs="Times New Roman"/>
                <w:sz w:val="24"/>
                <w:szCs w:val="24"/>
                <w:lang w:eastAsia="pl-PL"/>
              </w:rPr>
              <w:t xml:space="preserve"> </w:t>
            </w:r>
          </w:p>
        </w:tc>
      </w:tr>
      <w:tr w:rsidR="00E93980" w:rsidRPr="00E93980" w:rsidTr="00E93980">
        <w:trPr>
          <w:tblCellSpacing w:w="15" w:type="dxa"/>
        </w:trPr>
        <w:tc>
          <w:tcPr>
            <w:tcW w:w="3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1. </w:t>
            </w:r>
          </w:p>
        </w:tc>
        <w:tc>
          <w:tcPr>
            <w:tcW w:w="18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Drewno wielkowymiarowe iglaste </w:t>
            </w:r>
          </w:p>
        </w:tc>
        <w:tc>
          <w:tcPr>
            <w:tcW w:w="9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W 1 </w:t>
            </w:r>
          </w:p>
        </w:tc>
        <w:tc>
          <w:tcPr>
            <w:tcW w:w="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line="240" w:lineRule="auto"/>
              <w:jc w:val="left"/>
              <w:rPr>
                <w:rFonts w:ascii="Times New Roman" w:eastAsia="Times New Roman" w:hAnsi="Times New Roman" w:cs="Times New Roman"/>
                <w:sz w:val="24"/>
                <w:szCs w:val="24"/>
                <w:lang w:eastAsia="pl-PL"/>
              </w:rPr>
            </w:pPr>
          </w:p>
        </w:tc>
        <w:tc>
          <w:tcPr>
            <w:tcW w:w="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200 </w:t>
            </w:r>
          </w:p>
        </w:tc>
      </w:tr>
      <w:tr w:rsidR="00E93980" w:rsidRPr="00E93980" w:rsidTr="00E93980">
        <w:trPr>
          <w:tblCellSpacing w:w="15" w:type="dxa"/>
        </w:trPr>
        <w:tc>
          <w:tcPr>
            <w:tcW w:w="3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2. </w:t>
            </w:r>
          </w:p>
        </w:tc>
        <w:tc>
          <w:tcPr>
            <w:tcW w:w="18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Drewno wielkowymiarowe twarde </w:t>
            </w:r>
          </w:p>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(jesion, buk, grab itp.) </w:t>
            </w:r>
          </w:p>
        </w:tc>
        <w:tc>
          <w:tcPr>
            <w:tcW w:w="9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W 2 </w:t>
            </w:r>
          </w:p>
        </w:tc>
        <w:tc>
          <w:tcPr>
            <w:tcW w:w="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m</w:t>
            </w:r>
            <w:r w:rsidRPr="00E93980">
              <w:rPr>
                <w:rFonts w:ascii="Times New Roman" w:eastAsia="Times New Roman" w:hAnsi="Times New Roman" w:cs="Times New Roman"/>
                <w:sz w:val="24"/>
                <w:szCs w:val="24"/>
                <w:vertAlign w:val="superscript"/>
                <w:lang w:eastAsia="pl-PL"/>
              </w:rPr>
              <w:t>3</w:t>
            </w:r>
            <w:r w:rsidRPr="00E93980">
              <w:rPr>
                <w:rFonts w:ascii="Times New Roman" w:eastAsia="Times New Roman" w:hAnsi="Times New Roman" w:cs="Times New Roman"/>
                <w:sz w:val="24"/>
                <w:szCs w:val="24"/>
                <w:lang w:eastAsia="pl-PL"/>
              </w:rPr>
              <w:t xml:space="preserve"> </w:t>
            </w:r>
          </w:p>
        </w:tc>
        <w:tc>
          <w:tcPr>
            <w:tcW w:w="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200 </w:t>
            </w:r>
          </w:p>
        </w:tc>
      </w:tr>
      <w:tr w:rsidR="00E93980" w:rsidRPr="00E93980" w:rsidTr="00E93980">
        <w:trPr>
          <w:tblCellSpacing w:w="15" w:type="dxa"/>
        </w:trPr>
        <w:tc>
          <w:tcPr>
            <w:tcW w:w="3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3. </w:t>
            </w:r>
          </w:p>
        </w:tc>
        <w:tc>
          <w:tcPr>
            <w:tcW w:w="18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Drewno wielkowymiarowe liściaste pozostałe(olsza, brzoza, topola, klon itp. </w:t>
            </w:r>
          </w:p>
        </w:tc>
        <w:tc>
          <w:tcPr>
            <w:tcW w:w="9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W 0 </w:t>
            </w:r>
          </w:p>
        </w:tc>
        <w:tc>
          <w:tcPr>
            <w:tcW w:w="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line="240" w:lineRule="auto"/>
              <w:jc w:val="left"/>
              <w:rPr>
                <w:rFonts w:ascii="Times New Roman" w:eastAsia="Times New Roman" w:hAnsi="Times New Roman" w:cs="Times New Roman"/>
                <w:sz w:val="24"/>
                <w:szCs w:val="24"/>
                <w:lang w:eastAsia="pl-PL"/>
              </w:rPr>
            </w:pPr>
          </w:p>
        </w:tc>
        <w:tc>
          <w:tcPr>
            <w:tcW w:w="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100 </w:t>
            </w:r>
          </w:p>
        </w:tc>
      </w:tr>
    </w:tbl>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2. Ustala się cennik netto za drewno opałowe pozyskane kosztem Gminy Nowogródek Pomorski: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45"/>
        <w:gridCol w:w="1511"/>
        <w:gridCol w:w="1233"/>
        <w:gridCol w:w="1142"/>
        <w:gridCol w:w="1419"/>
        <w:gridCol w:w="1342"/>
      </w:tblGrid>
      <w:tr w:rsidR="00E93980" w:rsidRPr="00E93980" w:rsidTr="00E93980">
        <w:trPr>
          <w:tblCellSpacing w:w="15" w:type="dxa"/>
        </w:trPr>
        <w:tc>
          <w:tcPr>
            <w:tcW w:w="13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Rodzaj</w:t>
            </w:r>
            <w:r w:rsidRPr="00E93980">
              <w:rPr>
                <w:rFonts w:ascii="Times New Roman" w:eastAsia="Times New Roman" w:hAnsi="Times New Roman" w:cs="Times New Roman"/>
                <w:sz w:val="24"/>
                <w:szCs w:val="24"/>
                <w:lang w:eastAsia="pl-PL"/>
              </w:rPr>
              <w:t xml:space="preserve"> </w:t>
            </w:r>
          </w:p>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sortymentu</w:t>
            </w:r>
            <w:r w:rsidRPr="00E93980">
              <w:rPr>
                <w:rFonts w:ascii="Times New Roman" w:eastAsia="Times New Roman" w:hAnsi="Times New Roman" w:cs="Times New Roman"/>
                <w:sz w:val="24"/>
                <w:szCs w:val="24"/>
                <w:lang w:eastAsia="pl-PL"/>
              </w:rPr>
              <w:t xml:space="preserve"> </w:t>
            </w:r>
          </w:p>
        </w:tc>
        <w:tc>
          <w:tcPr>
            <w:tcW w:w="8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Oznaczenie</w:t>
            </w:r>
            <w:r w:rsidRPr="00E93980">
              <w:rPr>
                <w:rFonts w:ascii="Times New Roman" w:eastAsia="Times New Roman" w:hAnsi="Times New Roman" w:cs="Times New Roman"/>
                <w:sz w:val="24"/>
                <w:szCs w:val="24"/>
                <w:lang w:eastAsia="pl-PL"/>
              </w:rPr>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Jednostka miary</w:t>
            </w:r>
            <w:r w:rsidRPr="00E93980">
              <w:rPr>
                <w:rFonts w:ascii="Times New Roman" w:eastAsia="Times New Roman" w:hAnsi="Times New Roman" w:cs="Times New Roman"/>
                <w:sz w:val="24"/>
                <w:szCs w:val="24"/>
                <w:lang w:eastAsia="pl-PL"/>
              </w:rPr>
              <w:t xml:space="preserve"> </w:t>
            </w:r>
          </w:p>
        </w:tc>
        <w:tc>
          <w:tcPr>
            <w:tcW w:w="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Gatunki iglaste</w:t>
            </w:r>
            <w:r w:rsidRPr="00E93980">
              <w:rPr>
                <w:rFonts w:ascii="Times New Roman" w:eastAsia="Times New Roman" w:hAnsi="Times New Roman" w:cs="Times New Roman"/>
                <w:sz w:val="24"/>
                <w:szCs w:val="24"/>
                <w:lang w:eastAsia="pl-PL"/>
              </w:rPr>
              <w:t xml:space="preserve"> </w:t>
            </w:r>
          </w:p>
        </w:tc>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t xml:space="preserve">Gatunki liściaste twarde (dąb, buk, grab, olsza, klon, jesion, brzoza, drzewa </w:t>
            </w:r>
            <w:r w:rsidRPr="00E93980">
              <w:rPr>
                <w:rFonts w:ascii="Times New Roman" w:eastAsia="Times New Roman" w:hAnsi="Times New Roman" w:cs="Times New Roman"/>
                <w:b/>
                <w:bCs/>
                <w:sz w:val="24"/>
                <w:szCs w:val="24"/>
                <w:lang w:eastAsia="pl-PL"/>
              </w:rPr>
              <w:lastRenderedPageBreak/>
              <w:t>owocowe)</w:t>
            </w:r>
            <w:r w:rsidRPr="00E93980">
              <w:rPr>
                <w:rFonts w:ascii="Times New Roman" w:eastAsia="Times New Roman" w:hAnsi="Times New Roman" w:cs="Times New Roman"/>
                <w:sz w:val="24"/>
                <w:szCs w:val="24"/>
                <w:lang w:eastAsia="pl-PL"/>
              </w:rPr>
              <w:t xml:space="preserve"> </w:t>
            </w:r>
          </w:p>
        </w:tc>
        <w:tc>
          <w:tcPr>
            <w:tcW w:w="7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b/>
                <w:bCs/>
                <w:sz w:val="24"/>
                <w:szCs w:val="24"/>
                <w:lang w:eastAsia="pl-PL"/>
              </w:rPr>
              <w:lastRenderedPageBreak/>
              <w:t>Gatunki liściaste pozostałe</w:t>
            </w:r>
            <w:r w:rsidRPr="00E93980">
              <w:rPr>
                <w:rFonts w:ascii="Times New Roman" w:eastAsia="Times New Roman" w:hAnsi="Times New Roman" w:cs="Times New Roman"/>
                <w:sz w:val="24"/>
                <w:szCs w:val="24"/>
                <w:lang w:eastAsia="pl-PL"/>
              </w:rPr>
              <w:t xml:space="preserve"> </w:t>
            </w:r>
          </w:p>
        </w:tc>
      </w:tr>
      <w:tr w:rsidR="00E93980" w:rsidRPr="00E93980" w:rsidTr="00E93980">
        <w:trPr>
          <w:tblCellSpacing w:w="15" w:type="dxa"/>
        </w:trPr>
        <w:tc>
          <w:tcPr>
            <w:tcW w:w="13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lastRenderedPageBreak/>
              <w:t xml:space="preserve">średniowymiarowe </w:t>
            </w:r>
          </w:p>
        </w:tc>
        <w:tc>
          <w:tcPr>
            <w:tcW w:w="8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S 4, w tym: </w:t>
            </w:r>
          </w:p>
        </w:tc>
        <w:tc>
          <w:tcPr>
            <w:tcW w:w="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line="240" w:lineRule="auto"/>
              <w:jc w:val="left"/>
              <w:rPr>
                <w:rFonts w:ascii="Times New Roman" w:eastAsia="Times New Roman" w:hAnsi="Times New Roman" w:cs="Times New Roman"/>
                <w:sz w:val="24"/>
                <w:szCs w:val="24"/>
                <w:lang w:eastAsia="pl-PL"/>
              </w:rPr>
            </w:pPr>
          </w:p>
        </w:tc>
        <w:tc>
          <w:tcPr>
            <w:tcW w:w="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line="240" w:lineRule="auto"/>
              <w:jc w:val="left"/>
              <w:rPr>
                <w:rFonts w:ascii="Times New Roman" w:eastAsia="Times New Roman" w:hAnsi="Times New Roman" w:cs="Times New Roman"/>
                <w:sz w:val="24"/>
                <w:szCs w:val="24"/>
                <w:lang w:eastAsia="pl-PL"/>
              </w:rPr>
            </w:pPr>
          </w:p>
        </w:tc>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cena netto (zł) </w:t>
            </w:r>
          </w:p>
        </w:tc>
        <w:tc>
          <w:tcPr>
            <w:tcW w:w="7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line="240" w:lineRule="auto"/>
              <w:jc w:val="left"/>
              <w:rPr>
                <w:rFonts w:ascii="Times New Roman" w:eastAsia="Times New Roman" w:hAnsi="Times New Roman" w:cs="Times New Roman"/>
                <w:sz w:val="24"/>
                <w:szCs w:val="24"/>
                <w:lang w:eastAsia="pl-PL"/>
              </w:rPr>
            </w:pPr>
          </w:p>
        </w:tc>
      </w:tr>
      <w:tr w:rsidR="00E93980" w:rsidRPr="00E93980" w:rsidTr="00E93980">
        <w:trPr>
          <w:tblCellSpacing w:w="15" w:type="dxa"/>
        </w:trPr>
        <w:tc>
          <w:tcPr>
            <w:tcW w:w="13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line="240" w:lineRule="auto"/>
              <w:jc w:val="left"/>
              <w:rPr>
                <w:rFonts w:ascii="Times New Roman" w:eastAsia="Times New Roman" w:hAnsi="Times New Roman" w:cs="Times New Roman"/>
                <w:sz w:val="24"/>
                <w:szCs w:val="24"/>
                <w:lang w:eastAsia="pl-PL"/>
              </w:rPr>
            </w:pPr>
          </w:p>
        </w:tc>
        <w:tc>
          <w:tcPr>
            <w:tcW w:w="8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pocięte </w:t>
            </w:r>
          </w:p>
        </w:tc>
        <w:tc>
          <w:tcPr>
            <w:tcW w:w="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m</w:t>
            </w:r>
            <w:r w:rsidRPr="00E93980">
              <w:rPr>
                <w:rFonts w:ascii="Times New Roman" w:eastAsia="Times New Roman" w:hAnsi="Times New Roman" w:cs="Times New Roman"/>
                <w:sz w:val="24"/>
                <w:szCs w:val="24"/>
                <w:vertAlign w:val="superscript"/>
                <w:lang w:eastAsia="pl-PL"/>
              </w:rPr>
              <w:t>3</w:t>
            </w:r>
            <w:r w:rsidRPr="00E93980">
              <w:rPr>
                <w:rFonts w:ascii="Times New Roman" w:eastAsia="Times New Roman" w:hAnsi="Times New Roman" w:cs="Times New Roman"/>
                <w:sz w:val="24"/>
                <w:szCs w:val="24"/>
                <w:lang w:eastAsia="pl-PL"/>
              </w:rPr>
              <w:t xml:space="preserve"> </w:t>
            </w:r>
          </w:p>
        </w:tc>
        <w:tc>
          <w:tcPr>
            <w:tcW w:w="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100 </w:t>
            </w:r>
          </w:p>
        </w:tc>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120 </w:t>
            </w:r>
          </w:p>
        </w:tc>
        <w:tc>
          <w:tcPr>
            <w:tcW w:w="7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90 </w:t>
            </w:r>
          </w:p>
        </w:tc>
      </w:tr>
      <w:tr w:rsidR="00E93980" w:rsidRPr="00E93980" w:rsidTr="00E93980">
        <w:trPr>
          <w:tblCellSpacing w:w="15" w:type="dxa"/>
        </w:trPr>
        <w:tc>
          <w:tcPr>
            <w:tcW w:w="13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line="240" w:lineRule="auto"/>
              <w:jc w:val="left"/>
              <w:rPr>
                <w:rFonts w:ascii="Times New Roman" w:eastAsia="Times New Roman" w:hAnsi="Times New Roman" w:cs="Times New Roman"/>
                <w:sz w:val="24"/>
                <w:szCs w:val="24"/>
                <w:lang w:eastAsia="pl-PL"/>
              </w:rPr>
            </w:pPr>
          </w:p>
        </w:tc>
        <w:tc>
          <w:tcPr>
            <w:tcW w:w="8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ścinki </w:t>
            </w:r>
          </w:p>
        </w:tc>
        <w:tc>
          <w:tcPr>
            <w:tcW w:w="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proofErr w:type="spellStart"/>
            <w:r w:rsidRPr="00E93980">
              <w:rPr>
                <w:rFonts w:ascii="Times New Roman" w:eastAsia="Times New Roman" w:hAnsi="Times New Roman" w:cs="Times New Roman"/>
                <w:sz w:val="24"/>
                <w:szCs w:val="24"/>
                <w:lang w:eastAsia="pl-PL"/>
              </w:rPr>
              <w:t>mp</w:t>
            </w:r>
            <w:proofErr w:type="spellEnd"/>
            <w:r w:rsidRPr="00E93980">
              <w:rPr>
                <w:rFonts w:ascii="Times New Roman" w:eastAsia="Times New Roman" w:hAnsi="Times New Roman" w:cs="Times New Roman"/>
                <w:sz w:val="24"/>
                <w:szCs w:val="24"/>
                <w:lang w:eastAsia="pl-PL"/>
              </w:rPr>
              <w:t xml:space="preserve"> </w:t>
            </w:r>
          </w:p>
        </w:tc>
        <w:tc>
          <w:tcPr>
            <w:tcW w:w="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60 </w:t>
            </w:r>
          </w:p>
        </w:tc>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75 </w:t>
            </w:r>
          </w:p>
        </w:tc>
        <w:tc>
          <w:tcPr>
            <w:tcW w:w="7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60 </w:t>
            </w:r>
          </w:p>
        </w:tc>
      </w:tr>
      <w:tr w:rsidR="00E93980" w:rsidRPr="00E93980" w:rsidTr="00E93980">
        <w:trPr>
          <w:tblCellSpacing w:w="15" w:type="dxa"/>
        </w:trPr>
        <w:tc>
          <w:tcPr>
            <w:tcW w:w="13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line="240" w:lineRule="auto"/>
              <w:jc w:val="left"/>
              <w:rPr>
                <w:rFonts w:ascii="Times New Roman" w:eastAsia="Times New Roman" w:hAnsi="Times New Roman" w:cs="Times New Roman"/>
                <w:sz w:val="24"/>
                <w:szCs w:val="24"/>
                <w:lang w:eastAsia="pl-PL"/>
              </w:rPr>
            </w:pPr>
          </w:p>
        </w:tc>
        <w:tc>
          <w:tcPr>
            <w:tcW w:w="8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niecięte w wałkach </w:t>
            </w:r>
          </w:p>
        </w:tc>
        <w:tc>
          <w:tcPr>
            <w:tcW w:w="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m</w:t>
            </w:r>
            <w:r w:rsidRPr="00E93980">
              <w:rPr>
                <w:rFonts w:ascii="Times New Roman" w:eastAsia="Times New Roman" w:hAnsi="Times New Roman" w:cs="Times New Roman"/>
                <w:sz w:val="24"/>
                <w:szCs w:val="24"/>
                <w:vertAlign w:val="superscript"/>
                <w:lang w:eastAsia="pl-PL"/>
              </w:rPr>
              <w:t>3</w:t>
            </w:r>
            <w:r w:rsidRPr="00E93980">
              <w:rPr>
                <w:rFonts w:ascii="Times New Roman" w:eastAsia="Times New Roman" w:hAnsi="Times New Roman" w:cs="Times New Roman"/>
                <w:sz w:val="24"/>
                <w:szCs w:val="24"/>
                <w:lang w:eastAsia="pl-PL"/>
              </w:rPr>
              <w:t xml:space="preserve"> </w:t>
            </w:r>
          </w:p>
        </w:tc>
        <w:tc>
          <w:tcPr>
            <w:tcW w:w="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70 </w:t>
            </w:r>
          </w:p>
        </w:tc>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80 </w:t>
            </w:r>
          </w:p>
        </w:tc>
        <w:tc>
          <w:tcPr>
            <w:tcW w:w="7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75 </w:t>
            </w:r>
          </w:p>
        </w:tc>
      </w:tr>
      <w:tr w:rsidR="00E93980" w:rsidRPr="00E93980" w:rsidTr="00E93980">
        <w:trPr>
          <w:tblCellSpacing w:w="15" w:type="dxa"/>
        </w:trPr>
        <w:tc>
          <w:tcPr>
            <w:tcW w:w="13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line="240" w:lineRule="auto"/>
              <w:jc w:val="left"/>
              <w:rPr>
                <w:rFonts w:ascii="Times New Roman" w:eastAsia="Times New Roman" w:hAnsi="Times New Roman" w:cs="Times New Roman"/>
                <w:sz w:val="24"/>
                <w:szCs w:val="24"/>
                <w:lang w:eastAsia="pl-PL"/>
              </w:rPr>
            </w:pPr>
          </w:p>
        </w:tc>
        <w:tc>
          <w:tcPr>
            <w:tcW w:w="8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S 2 </w:t>
            </w:r>
          </w:p>
        </w:tc>
        <w:tc>
          <w:tcPr>
            <w:tcW w:w="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m</w:t>
            </w:r>
            <w:r w:rsidRPr="00E93980">
              <w:rPr>
                <w:rFonts w:ascii="Times New Roman" w:eastAsia="Times New Roman" w:hAnsi="Times New Roman" w:cs="Times New Roman"/>
                <w:sz w:val="24"/>
                <w:szCs w:val="24"/>
                <w:vertAlign w:val="superscript"/>
                <w:lang w:eastAsia="pl-PL"/>
              </w:rPr>
              <w:t>3</w:t>
            </w:r>
            <w:r w:rsidRPr="00E93980">
              <w:rPr>
                <w:rFonts w:ascii="Times New Roman" w:eastAsia="Times New Roman" w:hAnsi="Times New Roman" w:cs="Times New Roman"/>
                <w:sz w:val="24"/>
                <w:szCs w:val="24"/>
                <w:lang w:eastAsia="pl-PL"/>
              </w:rPr>
              <w:t xml:space="preserve"> </w:t>
            </w:r>
          </w:p>
        </w:tc>
        <w:tc>
          <w:tcPr>
            <w:tcW w:w="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120 </w:t>
            </w:r>
          </w:p>
        </w:tc>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185 </w:t>
            </w:r>
          </w:p>
        </w:tc>
        <w:tc>
          <w:tcPr>
            <w:tcW w:w="7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105 </w:t>
            </w:r>
          </w:p>
        </w:tc>
      </w:tr>
    </w:tbl>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(Cena za 1 </w:t>
      </w:r>
      <w:proofErr w:type="spellStart"/>
      <w:r w:rsidRPr="00E93980">
        <w:rPr>
          <w:rFonts w:ascii="Times New Roman" w:eastAsia="Times New Roman" w:hAnsi="Times New Roman" w:cs="Times New Roman"/>
          <w:sz w:val="24"/>
          <w:szCs w:val="24"/>
          <w:lang w:eastAsia="pl-PL"/>
        </w:rPr>
        <w:t>mp</w:t>
      </w:r>
      <w:proofErr w:type="spellEnd"/>
      <w:r w:rsidRPr="00E93980">
        <w:rPr>
          <w:rFonts w:ascii="Times New Roman" w:eastAsia="Times New Roman" w:hAnsi="Times New Roman" w:cs="Times New Roman"/>
          <w:sz w:val="24"/>
          <w:szCs w:val="24"/>
          <w:lang w:eastAsia="pl-PL"/>
        </w:rPr>
        <w:t xml:space="preserve">. wynosi 65% wartości drewna określonej w tabeli powyżej)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3. Ustala się cenę netto za zrębki pozyskane kosztem Gminy Nowogródek Pomorski w wysokości 35,00 zł za 1 </w:t>
      </w:r>
      <w:proofErr w:type="spellStart"/>
      <w:r w:rsidRPr="00E93980">
        <w:rPr>
          <w:rFonts w:ascii="Times New Roman" w:eastAsia="Times New Roman" w:hAnsi="Times New Roman" w:cs="Times New Roman"/>
          <w:sz w:val="24"/>
          <w:szCs w:val="24"/>
          <w:lang w:eastAsia="pl-PL"/>
        </w:rPr>
        <w:t>mp</w:t>
      </w:r>
      <w:proofErr w:type="spellEnd"/>
      <w:r w:rsidRPr="00E93980">
        <w:rPr>
          <w:rFonts w:ascii="Times New Roman" w:eastAsia="Times New Roman" w:hAnsi="Times New Roman" w:cs="Times New Roman"/>
          <w:sz w:val="24"/>
          <w:szCs w:val="24"/>
          <w:lang w:eastAsia="pl-PL"/>
        </w:rPr>
        <w:t xml:space="preserve">.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 8. W przypadku sprzedaży większej ilości drewna lub drewna szczególnie cennego decyzją wójta może być zorganizowany przetarg, zapytanie o cenę lub licytacja drewna.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 9. Wykonanie zarządzenia powierza się Kierownikowi Referatu Inwestycji i Ochrony Środowiska. </w:t>
      </w:r>
    </w:p>
    <w:p w:rsidR="00E93980" w:rsidRPr="00E93980" w:rsidRDefault="00E93980" w:rsidP="00E93980">
      <w:pPr>
        <w:spacing w:before="100" w:beforeAutospacing="1" w:after="100" w:afterAutospacing="1" w:line="240" w:lineRule="auto"/>
        <w:jc w:val="lef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 10. Zarządzenie wchodzi w życie z dniem podpisania. </w:t>
      </w:r>
    </w:p>
    <w:p w:rsidR="00E93980" w:rsidRPr="00E93980" w:rsidRDefault="00E93980" w:rsidP="00E93980">
      <w:pPr>
        <w:spacing w:before="100" w:beforeAutospacing="1" w:after="100" w:afterAutospacing="1" w:line="240" w:lineRule="auto"/>
        <w:jc w:val="righ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Wójt Gminy Nowogródek Pomorski </w:t>
      </w:r>
    </w:p>
    <w:p w:rsidR="00E93980" w:rsidRPr="00E93980" w:rsidRDefault="00E93980" w:rsidP="00E93980">
      <w:pPr>
        <w:spacing w:before="100" w:beforeAutospacing="1" w:after="100" w:afterAutospacing="1" w:line="240" w:lineRule="auto"/>
        <w:jc w:val="right"/>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t xml:space="preserve">/-/ Tomasz Pietruszka </w:t>
      </w:r>
    </w:p>
    <w:p w:rsidR="00E93980" w:rsidRPr="00E93980" w:rsidRDefault="00E93980" w:rsidP="00E9398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93980">
        <w:rPr>
          <w:rFonts w:ascii="Times New Roman" w:eastAsia="Times New Roman" w:hAnsi="Times New Roman" w:cs="Times New Roman"/>
          <w:sz w:val="24"/>
          <w:szCs w:val="24"/>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0x01 graphic" style="width:24pt;height:24pt"/>
        </w:pict>
      </w:r>
    </w:p>
    <w:p w:rsidR="00AE20F2" w:rsidRDefault="00AE20F2"/>
    <w:sectPr w:rsidR="00AE20F2" w:rsidSect="00AE20F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93980"/>
    <w:rsid w:val="003E00BC"/>
    <w:rsid w:val="00944A2B"/>
    <w:rsid w:val="00AE20F2"/>
    <w:rsid w:val="00E9398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E20F2"/>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E93980"/>
    <w:pPr>
      <w:spacing w:before="100" w:beforeAutospacing="1" w:after="100" w:afterAutospacing="1" w:line="240" w:lineRule="auto"/>
      <w:jc w:val="left"/>
    </w:pPr>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1291742726">
      <w:bodyDiv w:val="1"/>
      <w:marLeft w:val="0"/>
      <w:marRight w:val="0"/>
      <w:marTop w:val="0"/>
      <w:marBottom w:val="0"/>
      <w:divBdr>
        <w:top w:val="none" w:sz="0" w:space="0" w:color="auto"/>
        <w:left w:val="none" w:sz="0" w:space="0" w:color="auto"/>
        <w:bottom w:val="none" w:sz="0" w:space="0" w:color="auto"/>
        <w:right w:val="none" w:sz="0" w:space="0" w:color="auto"/>
      </w:divBdr>
      <w:divsChild>
        <w:div w:id="391270302">
          <w:marLeft w:val="0"/>
          <w:marRight w:val="0"/>
          <w:marTop w:val="0"/>
          <w:marBottom w:val="0"/>
          <w:divBdr>
            <w:top w:val="none" w:sz="0" w:space="0" w:color="auto"/>
            <w:left w:val="none" w:sz="0" w:space="0" w:color="auto"/>
            <w:bottom w:val="none" w:sz="0" w:space="0" w:color="auto"/>
            <w:right w:val="none" w:sz="0" w:space="0" w:color="auto"/>
          </w:divBdr>
        </w:div>
        <w:div w:id="158473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672</Words>
  <Characters>4033</Characters>
  <Application>Microsoft Office Word</Application>
  <DocSecurity>0</DocSecurity>
  <Lines>33</Lines>
  <Paragraphs>9</Paragraphs>
  <ScaleCrop>false</ScaleCrop>
  <Company/>
  <LinksUpToDate>false</LinksUpToDate>
  <CharactersWithSpaces>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1</cp:revision>
  <dcterms:created xsi:type="dcterms:W3CDTF">2020-01-14T12:48:00Z</dcterms:created>
  <dcterms:modified xsi:type="dcterms:W3CDTF">2020-01-14T12:48:00Z</dcterms:modified>
</cp:coreProperties>
</file>